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6B" w:rsidRPr="00FD5122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6"/>
          <w:szCs w:val="20"/>
        </w:rPr>
      </w:pPr>
      <w:r>
        <w:rPr>
          <w:rFonts w:cs="Times New Roman"/>
          <w:b/>
          <w:bCs/>
          <w:sz w:val="36"/>
          <w:szCs w:val="20"/>
        </w:rPr>
        <w:t>Material Safety Data Sheet (MSDS)</w:t>
      </w:r>
    </w:p>
    <w:p w:rsid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Date</w:t>
      </w:r>
      <w:r w:rsidRPr="00FD5122">
        <w:rPr>
          <w:rFonts w:cs="Times New Roman"/>
          <w:sz w:val="20"/>
          <w:szCs w:val="20"/>
        </w:rPr>
        <w:t>:</w:t>
      </w:r>
      <w:r>
        <w:rPr>
          <w:rFonts w:cs="Times New Roman"/>
          <w:sz w:val="20"/>
          <w:szCs w:val="20"/>
        </w:rPr>
        <w:t xml:space="preserve"> 25-06-2013</w:t>
      </w:r>
    </w:p>
    <w:p w:rsid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D55F6B" w:rsidRPr="00FD5122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Supplier</w:t>
      </w:r>
      <w:r w:rsidRPr="00FD5122">
        <w:rPr>
          <w:rFonts w:cs="Times New Roman"/>
          <w:sz w:val="20"/>
          <w:szCs w:val="20"/>
        </w:rPr>
        <w:t>:</w:t>
      </w:r>
    </w:p>
    <w:p w:rsidR="00D55F6B" w:rsidRPr="00FD5122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FD5122">
        <w:rPr>
          <w:rFonts w:cs="Times New Roman"/>
          <w:b/>
          <w:sz w:val="20"/>
          <w:szCs w:val="20"/>
        </w:rPr>
        <w:t>GRATCH INTERNATIONAL</w:t>
      </w:r>
    </w:p>
    <w:p w:rsidR="00D55F6B" w:rsidRPr="00FD5122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FD5122">
        <w:rPr>
          <w:rFonts w:cs="Times New Roman"/>
          <w:b/>
          <w:sz w:val="20"/>
          <w:szCs w:val="20"/>
        </w:rPr>
        <w:t>P</w:t>
      </w:r>
      <w:r>
        <w:rPr>
          <w:rFonts w:cs="Times New Roman"/>
          <w:b/>
          <w:sz w:val="20"/>
          <w:szCs w:val="20"/>
        </w:rPr>
        <w:t>.O. Box</w:t>
      </w:r>
      <w:r w:rsidRPr="00FD5122">
        <w:rPr>
          <w:rFonts w:cs="Times New Roman"/>
          <w:b/>
          <w:sz w:val="20"/>
          <w:szCs w:val="20"/>
        </w:rPr>
        <w:t xml:space="preserve"> 7034 </w:t>
      </w:r>
    </w:p>
    <w:p w:rsidR="00D55F6B" w:rsidRPr="00FD5122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FD5122">
        <w:rPr>
          <w:rFonts w:cs="Times New Roman"/>
          <w:b/>
          <w:sz w:val="20"/>
          <w:szCs w:val="20"/>
        </w:rPr>
        <w:t>5980 AA Panningen</w:t>
      </w:r>
    </w:p>
    <w:p w:rsidR="00D55F6B" w:rsidRPr="00FD5122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The </w:t>
      </w:r>
      <w:r w:rsidRPr="00FD5122">
        <w:rPr>
          <w:rFonts w:cs="Times New Roman"/>
          <w:b/>
          <w:sz w:val="20"/>
          <w:szCs w:val="20"/>
        </w:rPr>
        <w:t>Ne</w:t>
      </w:r>
      <w:r>
        <w:rPr>
          <w:rFonts w:cs="Times New Roman"/>
          <w:b/>
          <w:sz w:val="20"/>
          <w:szCs w:val="20"/>
        </w:rPr>
        <w:t>th</w:t>
      </w:r>
      <w:r w:rsidRPr="00FD5122">
        <w:rPr>
          <w:rFonts w:cs="Times New Roman"/>
          <w:b/>
          <w:sz w:val="20"/>
          <w:szCs w:val="20"/>
        </w:rPr>
        <w:t>erland</w:t>
      </w:r>
      <w:r>
        <w:rPr>
          <w:rFonts w:cs="Times New Roman"/>
          <w:b/>
          <w:sz w:val="20"/>
          <w:szCs w:val="20"/>
        </w:rPr>
        <w:t>s</w:t>
      </w:r>
    </w:p>
    <w:p w:rsidR="00D55F6B" w:rsidRPr="00FD5122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FD5122">
        <w:rPr>
          <w:rFonts w:cs="Times New Roman"/>
          <w:b/>
          <w:sz w:val="20"/>
          <w:szCs w:val="20"/>
        </w:rPr>
        <w:t>T. +31 77 465 10 95</w:t>
      </w:r>
    </w:p>
    <w:p w:rsidR="00D55F6B" w:rsidRPr="00FD5122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FD5122">
        <w:rPr>
          <w:rFonts w:cs="Times New Roman"/>
          <w:b/>
          <w:sz w:val="20"/>
          <w:szCs w:val="20"/>
        </w:rPr>
        <w:t>F. +31 77 465 10 96</w:t>
      </w:r>
    </w:p>
    <w:p w:rsidR="00D55F6B" w:rsidRPr="00FD5122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FD5122">
        <w:rPr>
          <w:rFonts w:cs="Times New Roman"/>
          <w:b/>
          <w:sz w:val="20"/>
          <w:szCs w:val="20"/>
        </w:rPr>
        <w:t>E. info@gratch.com</w:t>
      </w:r>
    </w:p>
    <w:p w:rsid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1. Identification of the substance/mixture and of the company/undertaking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1.1 Product identifier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 xml:space="preserve">- Commercial description : </w:t>
      </w:r>
      <w:r>
        <w:rPr>
          <w:rFonts w:cs="Times New Roman"/>
          <w:sz w:val="20"/>
          <w:szCs w:val="20"/>
        </w:rPr>
        <w:t xml:space="preserve">Enovio </w:t>
      </w:r>
      <w:r w:rsidRPr="00FD5122">
        <w:rPr>
          <w:rFonts w:cs="Times New Roman"/>
          <w:sz w:val="20"/>
          <w:szCs w:val="20"/>
        </w:rPr>
        <w:t>Poly</w:t>
      </w:r>
      <w:r>
        <w:rPr>
          <w:rFonts w:cs="Times New Roman"/>
          <w:sz w:val="20"/>
          <w:szCs w:val="20"/>
        </w:rPr>
        <w:t>-</w:t>
      </w:r>
      <w:r w:rsidRPr="00FD5122">
        <w:rPr>
          <w:rFonts w:cs="Times New Roman"/>
          <w:sz w:val="20"/>
          <w:szCs w:val="20"/>
        </w:rPr>
        <w:t>A</w:t>
      </w:r>
      <w:r>
        <w:rPr>
          <w:rFonts w:cs="Times New Roman"/>
          <w:sz w:val="20"/>
          <w:szCs w:val="20"/>
        </w:rPr>
        <w:t>g</w:t>
      </w:r>
      <w:r w:rsidRPr="00FD5122">
        <w:rPr>
          <w:rFonts w:cs="Times New Roman"/>
          <w:sz w:val="20"/>
          <w:szCs w:val="20"/>
        </w:rPr>
        <w:t>ua</w:t>
      </w:r>
      <w:r>
        <w:rPr>
          <w:rFonts w:cs="Times New Roman"/>
          <w:sz w:val="20"/>
          <w:szCs w:val="20"/>
        </w:rPr>
        <w:t xml:space="preserve"> Hardener (component B)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 xml:space="preserve">- Product code : </w:t>
      </w:r>
      <w:r w:rsidRPr="00A2543F">
        <w:rPr>
          <w:rFonts w:cs="Times New Roman"/>
          <w:sz w:val="20"/>
          <w:szCs w:val="20"/>
        </w:rPr>
        <w:t>xxxxxx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 xml:space="preserve">- Product description : Hardener for </w:t>
      </w:r>
      <w:r>
        <w:rPr>
          <w:rFonts w:cs="Times New Roman"/>
          <w:sz w:val="20"/>
          <w:szCs w:val="20"/>
        </w:rPr>
        <w:t xml:space="preserve">Enovio </w:t>
      </w:r>
      <w:r w:rsidRPr="00FD5122">
        <w:rPr>
          <w:rFonts w:cs="Times New Roman"/>
          <w:sz w:val="20"/>
          <w:szCs w:val="20"/>
        </w:rPr>
        <w:t>Poly</w:t>
      </w:r>
      <w:r>
        <w:rPr>
          <w:rFonts w:cs="Times New Roman"/>
          <w:sz w:val="20"/>
          <w:szCs w:val="20"/>
        </w:rPr>
        <w:t>-</w:t>
      </w:r>
      <w:r w:rsidRPr="00FD5122">
        <w:rPr>
          <w:rFonts w:cs="Times New Roman"/>
          <w:sz w:val="20"/>
          <w:szCs w:val="20"/>
        </w:rPr>
        <w:t>A</w:t>
      </w:r>
      <w:r>
        <w:rPr>
          <w:rFonts w:cs="Times New Roman"/>
          <w:sz w:val="20"/>
          <w:szCs w:val="20"/>
        </w:rPr>
        <w:t>g</w:t>
      </w:r>
      <w:r w:rsidRPr="00FD5122">
        <w:rPr>
          <w:rFonts w:cs="Times New Roman"/>
          <w:sz w:val="20"/>
          <w:szCs w:val="20"/>
        </w:rPr>
        <w:t>ua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1.2 Relevant identified uses of the substance or mixture and uses advised against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· Application of the substance/the preparation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- Use : Hardener for coating materials or adhesives for industrial and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trade applications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- Use(s) advised against : Not suitable for use in homeworker (DIY) applications.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1.3 Details of the supplier of the safety data sheet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· Company identification : See heading of Material Safety Data Sheet.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1.4 Emergency telephone number</w:t>
      </w:r>
    </w:p>
    <w:p w:rsidR="00D55F6B" w:rsidRPr="00FD5122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A2543F">
        <w:rPr>
          <w:rFonts w:cs="Times New Roman"/>
          <w:sz w:val="20"/>
          <w:szCs w:val="20"/>
        </w:rPr>
        <w:t xml:space="preserve">: </w:t>
      </w:r>
      <w:r>
        <w:rPr>
          <w:rFonts w:cs="Times New Roman"/>
          <w:sz w:val="20"/>
          <w:szCs w:val="20"/>
        </w:rPr>
        <w:t>- 00</w:t>
      </w:r>
      <w:r w:rsidRPr="00FD5122">
        <w:rPr>
          <w:rFonts w:cs="Times New Roman"/>
          <w:sz w:val="20"/>
          <w:szCs w:val="20"/>
        </w:rPr>
        <w:t>31 77 465 10 95</w:t>
      </w:r>
    </w:p>
    <w:p w:rsid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2. Hazards identification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2.1 Classification of the substance or mixture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Product Description : Mixture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Classification according to Regulation (EC) No 1272/2008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Flammable liquid and vapour , Category 3 (H226)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Sensitization of the skin, Sub-category 1B (H317)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Eye Irrit. Causes serious eye irritation, Category 2 (H319 )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Specific target organ toxicity (single exposure), Category 3 (H335)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Chronically hazardous to the aquatic environment, Category 3 (H412)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Classification according to Directive 67/548/EEC or 1999/45/EC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Flammable</w:t>
      </w:r>
      <w:r>
        <w:rPr>
          <w:rFonts w:cs="Times New Roman"/>
          <w:sz w:val="20"/>
          <w:szCs w:val="20"/>
        </w:rPr>
        <w:t xml:space="preserve">. </w:t>
      </w:r>
      <w:r w:rsidRPr="00D55F6B">
        <w:rPr>
          <w:rFonts w:cs="Times New Roman"/>
          <w:sz w:val="20"/>
          <w:szCs w:val="20"/>
        </w:rPr>
        <w:t>Irritating to eyes and skin</w:t>
      </w:r>
      <w:r>
        <w:rPr>
          <w:rFonts w:cs="Times New Roman"/>
          <w:sz w:val="20"/>
          <w:szCs w:val="20"/>
        </w:rPr>
        <w:t xml:space="preserve">. </w:t>
      </w:r>
      <w:r w:rsidRPr="00D55F6B">
        <w:rPr>
          <w:rFonts w:cs="Times New Roman"/>
          <w:sz w:val="20"/>
          <w:szCs w:val="20"/>
        </w:rPr>
        <w:t>Risk of serious damage to eyes</w:t>
      </w:r>
      <w:r>
        <w:rPr>
          <w:rFonts w:cs="Times New Roman"/>
          <w:sz w:val="20"/>
          <w:szCs w:val="20"/>
        </w:rPr>
        <w:t xml:space="preserve">. </w:t>
      </w:r>
      <w:r w:rsidRPr="00D55F6B">
        <w:rPr>
          <w:rFonts w:cs="Times New Roman"/>
          <w:sz w:val="20"/>
          <w:szCs w:val="20"/>
        </w:rPr>
        <w:t>May cause sensitisation by skin contact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Harmful to aquatic organisms, may cause long-term adverse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effects in the aquatic environment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2.2 Label elements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Label in accordance with Regulation (EC) No 1272/2008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- Dangerous ingredient(s) </w:t>
      </w:r>
      <w:r w:rsidRPr="00D55F6B">
        <w:rPr>
          <w:rFonts w:cs="Times New Roman"/>
          <w:sz w:val="20"/>
          <w:szCs w:val="20"/>
        </w:rPr>
        <w:t>: Hydrophilic aliphatic polyisocyanate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 xml:space="preserve">· </w:t>
      </w:r>
      <w:r w:rsidRPr="00D55F6B">
        <w:rPr>
          <w:rFonts w:cs="Times New Roman"/>
          <w:b/>
          <w:bCs/>
          <w:sz w:val="20"/>
          <w:szCs w:val="20"/>
        </w:rPr>
        <w:t xml:space="preserve">Hazard pictogram(s) </w:t>
      </w:r>
      <w:r w:rsidRPr="00D55F6B">
        <w:rPr>
          <w:rFonts w:cs="Times New Roman"/>
          <w:sz w:val="20"/>
          <w:szCs w:val="20"/>
        </w:rPr>
        <w:t>: GHS02, GHS07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Flammable liquid, Category 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GHS02 Flam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Flam. Liq. 3 H226: Flammable liquid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GHS07 Warning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 xml:space="preserve">· </w:t>
      </w:r>
      <w:r w:rsidRPr="00D55F6B">
        <w:rPr>
          <w:rFonts w:cs="Times New Roman"/>
          <w:b/>
          <w:bCs/>
          <w:sz w:val="20"/>
          <w:szCs w:val="20"/>
        </w:rPr>
        <w:t xml:space="preserve">Signal word </w:t>
      </w:r>
      <w:r w:rsidRPr="00D55F6B">
        <w:rPr>
          <w:rFonts w:cs="Times New Roman"/>
          <w:sz w:val="20"/>
          <w:szCs w:val="20"/>
        </w:rPr>
        <w:t>Warning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Hazard statements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H226: Flammable liquid and vapour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H317: May cause an allergic skin reaction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H319: Causes serious eye irritation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H335: May cause respiratory irritation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H412: Harmful to aquatic life with long lasting effects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Precautionary statements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P210: Keep away from heat/sparks/open flames/hot surfaces – No smoking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P271: Use only outdoors or in a well-ventilated area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P273 Avoid release to the environment.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P280: Wear protective gloves/protective clothing/eye protection/face protection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lastRenderedPageBreak/>
        <w:t>- Response precautionary statements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P303+P361+P353: IF ON SKIN (or hair): Remove/Take off immediately all contaminated clothing.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Rinse skin with water/shower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P304 + P340 IF INHALED: Remove victim to fresh air and keep at rest in a position comfortable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for breathing.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P312 Call a POISON CENTER or doctor/ physician if you feel unwell.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Storage precautionary statements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P403+235: Store in a well ventilated place. Keep cool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Other EU hazard statements: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EUH204: Contains isocyanates. May produce an allergic reaction.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Labeling according to Directive 67/548/EEC or Directive 1999/45/EC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- Dangerous ingredient(s) </w:t>
      </w:r>
      <w:r w:rsidRPr="00D55F6B">
        <w:rPr>
          <w:rFonts w:cs="Times New Roman"/>
          <w:sz w:val="20"/>
          <w:szCs w:val="20"/>
        </w:rPr>
        <w:t>: Hydrophilic aliphatic polyisocyanate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 xml:space="preserve">· </w:t>
      </w:r>
      <w:r w:rsidRPr="00D55F6B">
        <w:rPr>
          <w:rFonts w:cs="Times New Roman"/>
          <w:b/>
          <w:bCs/>
          <w:sz w:val="20"/>
          <w:szCs w:val="20"/>
        </w:rPr>
        <w:t xml:space="preserve">Hazard pictogram(s) </w:t>
      </w:r>
      <w:r w:rsidRPr="00D55F6B">
        <w:rPr>
          <w:rFonts w:cs="Times New Roman"/>
          <w:sz w:val="20"/>
          <w:szCs w:val="20"/>
        </w:rPr>
        <w:t>: Xi; Irritating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R10 Flammable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Xi; Irritating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R36/38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R-phrase(s)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R10: Flammable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R36/38: Irritating to eyes and skin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R41: Risk of serious damage to eyes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R43: May cause sensitisation by skin contact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R52/53: Harmful to aquatic organisms, may cause long-term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adverse effects in the aquatic environment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S-phrase(s)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S16: Keep away from sources of ignition - No smoking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S23: Do not breathe gas/fumes/vapour/spray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S24: Avoid contact with skin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S37: Wear suitable gloves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S51: Use only in well-ventilated areas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2.3 Other hazards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Contains </w:t>
      </w:r>
      <w:r w:rsidRPr="00D55F6B">
        <w:rPr>
          <w:rFonts w:cs="Times New Roman"/>
          <w:sz w:val="20"/>
          <w:szCs w:val="20"/>
        </w:rPr>
        <w:t>: Contains isocyanates. May produce an allergic reaction.</w:t>
      </w:r>
    </w:p>
    <w:p w:rsid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3. Composition/information on ingredients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- Product Description: </w:t>
      </w:r>
      <w:r w:rsidRPr="00D55F6B">
        <w:rPr>
          <w:rFonts w:cs="Times New Roman"/>
          <w:sz w:val="20"/>
          <w:szCs w:val="20"/>
        </w:rPr>
        <w:t>Preparation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Hydrophilic aliphatic polyisocyanate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3.1 Substances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· CAS nr. - Name component(s) </w:t>
      </w:r>
      <w:r w:rsidRPr="00D55F6B">
        <w:rPr>
          <w:rFonts w:cs="Times New Roman"/>
          <w:sz w:val="20"/>
          <w:szCs w:val="20"/>
        </w:rPr>
        <w:t>28182-81-2 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Concentration [wt.-%]: 50 - 60%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Classification (1272/2008/CE): Skin Sens. 1 H317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Classification (67/548/EEC): Xi R43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Classification/labeling according to Directive 2006/121 Annex VI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· CAS nr. - Name component(s) </w:t>
      </w:r>
      <w:r w:rsidRPr="00D55F6B">
        <w:rPr>
          <w:rFonts w:cs="Times New Roman"/>
          <w:sz w:val="20"/>
          <w:szCs w:val="20"/>
        </w:rPr>
        <w:t>53880-05-0 Isoforondiisocyanaat (Oligomere)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Concentration [wt.-%]: </w:t>
      </w:r>
      <w:r w:rsidRPr="00D55F6B">
        <w:rPr>
          <w:rFonts w:cs="Times New Roman"/>
          <w:sz w:val="20"/>
          <w:szCs w:val="20"/>
        </w:rPr>
        <w:t>ca. 12,6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Self-classification.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Classification (1272/2008/CE): Skin Sens. 1 H317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Classification (67/548/EEC): Xi R43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Classification/labeling according to Directive 2006/121 Annex VI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· CAS nr. - Name component(s) </w:t>
      </w:r>
      <w:r w:rsidRPr="00D55F6B">
        <w:rPr>
          <w:rFonts w:cs="Times New Roman"/>
          <w:sz w:val="20"/>
          <w:szCs w:val="20"/>
        </w:rPr>
        <w:t>4098-71-9 Isoforondiisocyanaat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Identification number (s)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EINECS nr.: </w:t>
      </w:r>
      <w:r w:rsidRPr="00D55F6B">
        <w:rPr>
          <w:rFonts w:cs="Times New Roman"/>
          <w:sz w:val="20"/>
          <w:szCs w:val="20"/>
        </w:rPr>
        <w:t xml:space="preserve">223-861-6 </w:t>
      </w:r>
      <w:r w:rsidRPr="00D55F6B">
        <w:rPr>
          <w:rFonts w:cs="Times New Roman"/>
          <w:b/>
          <w:bCs/>
          <w:sz w:val="20"/>
          <w:szCs w:val="20"/>
        </w:rPr>
        <w:t xml:space="preserve">· EC annex nr.: </w:t>
      </w:r>
      <w:r w:rsidRPr="00D55F6B">
        <w:rPr>
          <w:rFonts w:cs="Times New Roman"/>
          <w:sz w:val="20"/>
          <w:szCs w:val="20"/>
        </w:rPr>
        <w:t>615-008-00-5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- Concentration [wt.-%]: </w:t>
      </w:r>
      <w:r w:rsidRPr="00D55F6B">
        <w:rPr>
          <w:rFonts w:cs="Times New Roman"/>
          <w:sz w:val="20"/>
          <w:szCs w:val="20"/>
        </w:rPr>
        <w:t>&lt; 0,3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Classification (1272/2008/CE): Acute tox. 1 Inhalatief H330 Skin Irrit. 2 H315 Eye Irrit. 2 H319 Sens.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Sens. Resp. 1 H334 Skin Sens. 1 H317 STOT SE 3 H335 Aq. chron. 2 H411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Specific threshold concentration (GHS):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Sens. Resp. 1 H334 &gt;= 0,5 %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Skin Sens. 1 &gt;= 0,5 %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Classification (67/548/EEC): T R23 Xn R42/43 Xi R36/37/38 N R51/53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Specific threshold concentration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lastRenderedPageBreak/>
        <w:t>Xn R42/43 &gt;= 0,5 %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X R20 0,5 - &lt; 2 %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 R23 &gt;= 2 %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· CAS nr. - Name component(s) </w:t>
      </w:r>
      <w:r w:rsidRPr="00D55F6B">
        <w:rPr>
          <w:rFonts w:cs="Times New Roman"/>
          <w:sz w:val="20"/>
          <w:szCs w:val="20"/>
        </w:rPr>
        <w:t>822-06-0 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Identification number (s)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· EINECS nr.: </w:t>
      </w:r>
      <w:r w:rsidRPr="00D55F6B">
        <w:rPr>
          <w:rFonts w:cs="Times New Roman"/>
          <w:sz w:val="20"/>
          <w:szCs w:val="20"/>
        </w:rPr>
        <w:t xml:space="preserve">212-485-8 </w:t>
      </w:r>
      <w:r w:rsidRPr="00D55F6B">
        <w:rPr>
          <w:rFonts w:cs="Times New Roman"/>
          <w:b/>
          <w:bCs/>
          <w:sz w:val="20"/>
          <w:szCs w:val="20"/>
        </w:rPr>
        <w:t xml:space="preserve">· EC annex nr.: </w:t>
      </w:r>
      <w:r w:rsidRPr="00D55F6B">
        <w:rPr>
          <w:rFonts w:cs="Times New Roman"/>
          <w:sz w:val="20"/>
          <w:szCs w:val="20"/>
        </w:rPr>
        <w:t>615-011-00-1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 xml:space="preserve">· </w:t>
      </w:r>
      <w:r w:rsidRPr="00D55F6B">
        <w:rPr>
          <w:rFonts w:cs="Times New Roman"/>
          <w:b/>
          <w:bCs/>
          <w:sz w:val="20"/>
          <w:szCs w:val="20"/>
        </w:rPr>
        <w:t xml:space="preserve">Reach nr. </w:t>
      </w:r>
      <w:r w:rsidRPr="00D55F6B">
        <w:rPr>
          <w:rFonts w:cs="Times New Roman"/>
          <w:sz w:val="20"/>
          <w:szCs w:val="20"/>
        </w:rPr>
        <w:t xml:space="preserve">: 01-2119488216-32 </w:t>
      </w:r>
      <w:r w:rsidRPr="00D55F6B">
        <w:rPr>
          <w:rFonts w:cs="Times New Roman"/>
          <w:b/>
          <w:bCs/>
          <w:sz w:val="20"/>
          <w:szCs w:val="20"/>
        </w:rPr>
        <w:t xml:space="preserve">- Concentration [wt.-%]: </w:t>
      </w:r>
      <w:r w:rsidRPr="00D55F6B">
        <w:rPr>
          <w:rFonts w:cs="Times New Roman"/>
          <w:sz w:val="20"/>
          <w:szCs w:val="20"/>
        </w:rPr>
        <w:t>&lt; 0,3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Classification (1272/2008/CE): Acute Tox. 4 Oral H302 Acute Tox. 1 Inhalatief H330 Skin Irrit. 2 H315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Eye Irrit. 2 H319 Sens. Resp. 1 H334 Skin Sens. 1 H317 STOT SE 3 H335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Specific threshold concentration (GHS):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Sens. Resp. 1 H334 &gt;= 0,5 %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Skin Sens. 1 H317 &gt;= 0,5 %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Classification (67/548/EEC): T R23 Xi R36/37/38 R42/43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Specific threshold concentration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Xn R20, R42/43 0,5 - &lt; 2 %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 R23, R42/43 2 - &lt; 20 %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 R23, R36/37/38, R42/43 &gt;= 20 %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mitigation means as salt bound: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· CAS nr. - Name component(s) </w:t>
      </w:r>
      <w:r w:rsidRPr="00D55F6B">
        <w:rPr>
          <w:rFonts w:cs="Times New Roman"/>
          <w:sz w:val="20"/>
          <w:szCs w:val="20"/>
        </w:rPr>
        <w:t>98-94-2 N,N-dimethylcyclohexylamine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Identification number (s)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EINECS nr.: </w:t>
      </w:r>
      <w:r w:rsidRPr="00D55F6B">
        <w:rPr>
          <w:rFonts w:cs="Times New Roman"/>
          <w:sz w:val="20"/>
          <w:szCs w:val="20"/>
        </w:rPr>
        <w:t xml:space="preserve">202-715-5 </w:t>
      </w:r>
      <w:r w:rsidRPr="00D55F6B">
        <w:rPr>
          <w:rFonts w:cs="Times New Roman"/>
          <w:b/>
          <w:bCs/>
          <w:sz w:val="20"/>
          <w:szCs w:val="20"/>
        </w:rPr>
        <w:t xml:space="preserve">- Concentration [wt.-%]: </w:t>
      </w:r>
      <w:r w:rsidRPr="00D55F6B">
        <w:rPr>
          <w:rFonts w:cs="Times New Roman"/>
          <w:sz w:val="20"/>
          <w:szCs w:val="20"/>
        </w:rPr>
        <w:t>&lt; 1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Classification (1272/2008/CE): Flam. Liq. 3 H226 Met. corr. 1 H290 Acute Tox. 3 Oral H301 Acute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Tox. 3 Dermal H311 Acute Tox. 3 Inhalatief H331 Skin Corr. 1B H314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Classification (67/548/EEC): R10 C R34 Xn R20/21/22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· CAS nr. - Name component(s) </w:t>
      </w:r>
      <w:r w:rsidRPr="00D55F6B">
        <w:rPr>
          <w:rFonts w:cs="Times New Roman"/>
          <w:sz w:val="20"/>
          <w:szCs w:val="20"/>
        </w:rPr>
        <w:t>9046-01-9 Polyoxyethylene tridecyl ether phosphate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Concentration [wt.-%]: </w:t>
      </w:r>
      <w:r w:rsidRPr="00D55F6B">
        <w:rPr>
          <w:rFonts w:cs="Times New Roman"/>
          <w:sz w:val="20"/>
          <w:szCs w:val="20"/>
        </w:rPr>
        <w:t>ca. 7,2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Self-classification.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Classification (1272/2008/CE): Skin Irrit. 2 H315 Eye Irrit. 1 H318 Aquatic Chronic 2 H411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Classification (67/548/EEC): Xi; R38-R41 - N; R51/53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Classification/labeling according to Directive 2006/121 Annex VI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· CAS nr. - Name component(s) </w:t>
      </w:r>
      <w:r w:rsidRPr="00D55F6B">
        <w:rPr>
          <w:rFonts w:cs="Times New Roman"/>
          <w:sz w:val="20"/>
          <w:szCs w:val="20"/>
        </w:rPr>
        <w:t>123-86-4 n-Butylacetaat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Identification number (s)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· EINECS nr.: </w:t>
      </w:r>
      <w:r w:rsidRPr="00D55F6B">
        <w:rPr>
          <w:rFonts w:cs="Times New Roman"/>
          <w:sz w:val="20"/>
          <w:szCs w:val="20"/>
        </w:rPr>
        <w:t xml:space="preserve">204-658-1 </w:t>
      </w:r>
      <w:r w:rsidRPr="00D55F6B">
        <w:rPr>
          <w:rFonts w:cs="Times New Roman"/>
          <w:b/>
          <w:bCs/>
          <w:sz w:val="20"/>
          <w:szCs w:val="20"/>
        </w:rPr>
        <w:t xml:space="preserve">· EC annex nr.: </w:t>
      </w:r>
      <w:r w:rsidRPr="00D55F6B">
        <w:rPr>
          <w:rFonts w:cs="Times New Roman"/>
          <w:sz w:val="20"/>
          <w:szCs w:val="20"/>
        </w:rPr>
        <w:t>607-025-00-1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 xml:space="preserve">· </w:t>
      </w:r>
      <w:r w:rsidRPr="00D55F6B">
        <w:rPr>
          <w:rFonts w:cs="Times New Roman"/>
          <w:b/>
          <w:bCs/>
          <w:sz w:val="20"/>
          <w:szCs w:val="20"/>
        </w:rPr>
        <w:t xml:space="preserve">Reach nr. </w:t>
      </w:r>
      <w:r w:rsidRPr="00D55F6B">
        <w:rPr>
          <w:rFonts w:cs="Times New Roman"/>
          <w:sz w:val="20"/>
          <w:szCs w:val="20"/>
        </w:rPr>
        <w:t xml:space="preserve">: 01-2119485493-29 </w:t>
      </w:r>
      <w:r w:rsidRPr="00D55F6B">
        <w:rPr>
          <w:rFonts w:cs="Times New Roman"/>
          <w:b/>
          <w:bCs/>
          <w:sz w:val="20"/>
          <w:szCs w:val="20"/>
        </w:rPr>
        <w:t xml:space="preserve">- Concentration [wt.-%]: </w:t>
      </w:r>
      <w:r w:rsidRPr="00D55F6B">
        <w:rPr>
          <w:rFonts w:cs="Times New Roman"/>
          <w:sz w:val="20"/>
          <w:szCs w:val="20"/>
        </w:rPr>
        <w:t>&lt; 10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Classification Regulation (EC) No 1272/2008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Flammable liquid and vapour , Category 3 - Warning (Flam. Liq. 3; H226)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May cause drowsiness or dizziness - (single exposure), Category 3 - Warning (STOT SE 3; H336)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Repeated exposure may cause skin dryness or cracking (STOT RE; EUH066)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Classification Directive 67/548/EEC of 1999/45/CE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Flammable liquid (R10) (R66) (R67)</w:t>
      </w:r>
    </w:p>
    <w:p w:rsid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4. </w:t>
      </w:r>
      <w:r>
        <w:rPr>
          <w:rFonts w:cs="Times New Roman"/>
          <w:b/>
          <w:bCs/>
          <w:sz w:val="20"/>
          <w:szCs w:val="20"/>
        </w:rPr>
        <w:t>First Aid Measures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4.1 Description of first aid measures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General: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Take off immediately all contaminated clothing.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Inhalation 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Avoid further exposure. Persons who provide assistance must make sure that they expose themselves or others.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Remove victim to fresh air and keep at rest in a position comfortable for breathing.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Seek medical attention if symptoms occur.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Skin Contact 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Remove contaminated clothing. Wash contaminated clothing before re-use.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Rinse skin immediately with plenty of water. (shower if necessary).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Consult doctor if irritation develops.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Eye contact 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Rinse the eyes immediately with large amounts of water, occasionally lifting the upper and lower eyelids.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Check for contact lenses be worn, if so remove if possible. Consult a doctor if irritation occurs.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Ingestion 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Rinse mouth with water. Remove victim to fresh air and keep at rest in a position comfortable for breathing.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lastRenderedPageBreak/>
        <w:t>Not to put to vomiting unless medical personnel indicates that this should.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Seek medical attention if symptoms occur.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Protection of first aiders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There should be no action be taken if there is risk of personal accidents or in case of insufficient training.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Information for the doctor 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4.2 Most important symptoms and effects, both acute and delayed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See section 11. *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4.3 Indication of any immediate medical attention and special treatment needed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For specialist advice doctors should contact the NVCI or the Poison center.</w:t>
      </w:r>
    </w:p>
    <w:p w:rsidR="00C40396" w:rsidRDefault="00C40396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5. Firefighting measures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5.1 Extinguishing media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Suitable 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Powder , Alcohol resistant foam , Carbon dioxide , Water spray.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In suitable : Do not use a heavy water stream, in order to avoid the fire to extend.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5.2 Special hazards arising from the substance or mixture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Risks of the substance or mixture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In case of fire or heating runs the press and the holder may burst.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Hazardous combustion </w:t>
      </w:r>
      <w:r w:rsidRPr="00D55F6B">
        <w:rPr>
          <w:rFonts w:cs="Times New Roman"/>
          <w:sz w:val="20"/>
          <w:szCs w:val="20"/>
        </w:rPr>
        <w:t>There may be nitrous gases formed.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products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5.3 Advice for firefighters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Fire Fighting Instructions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Flammable. Evacuate area. If a leak or spill has not ignited, use water spray to disperse the vapours and to protect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personnel attempting to stop a leak. Prevent run-off from fire control or dilution from entering streams, sewers or drinking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water supply. Fire-fighters should use standard protective equipment and in enclosed spaces, self-contained breathing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apparatus (SCBA). Use water spray to cool fire exposed surfaces and to protect personnel.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Unusual Fire Hazards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Flammable. Vapour is flammable and heavier than air. Vapour may travel across the ground and reach remote ignition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sources, causing a flashback fire danger.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Firefighters should consider protective equipment indicated in Section 8.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Further data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 endangered tanks with cooling water jet-held.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Fire residues and contaminated fire extinguishing water must be salvaged in accordance with government regulations.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Firefighters protective equipment specified in section 8.</w:t>
      </w:r>
    </w:p>
    <w:p w:rsidR="00C40396" w:rsidRDefault="00C40396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6. Accidental release measures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6.1 Personal precautions, protective equipment and emergency procedures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Reporting procedures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In the event of contamination or accidental discharge, inform the competent authorities and all regulations in force.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Protective actions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 action shall be taken involving any personal risk or without suitable training. Evacuate surrounding areas.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Keep unnecessary and unprotected personnel from entering.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Do not touch or walk through spilt material. Shut off all ignition sources. No flares, smoking or flames in hazard area.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Avoid breathing vapour or mist. Provide adequate ventilation.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Wear recommended personal protective equipment.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Wear appropriate respirator when ventilation is inadequate. Put on appropriate personal protective equipment.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If specialized clothing is required to deal with the spillage, take note of any information in Section 8 on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suitable and unsuitable materials. See also the information in "For non-emergency personnel".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Fire water contaminated with this material must be contained and prevented from being discharged to any waterway,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sewer or drain. Fire-fighters should wear appropriate protective equipment and self-contained breathing apparatus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(SCBA) with a full face-piece operated in positive pressure mode. Clothing for firefighters (including helmets,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protective boots and gloves) conforming to European standard EN 469 will provide a basic level of protectionfor chemical incidents.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For the emergency services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See also the information under the heading "for persons other than the emergency services".</w:t>
      </w:r>
    </w:p>
    <w:p w:rsidR="00C40396" w:rsidRDefault="00C40396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C40396" w:rsidRDefault="00C40396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lastRenderedPageBreak/>
        <w:t>· 6.2 Environmental precautions :</w:t>
      </w:r>
    </w:p>
    <w:p w:rsid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Shut off leaks if without risks. Dike in the spilled product as much as possible with inert material.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Prevent entry of product in public water, sewers or soil.</w:t>
      </w:r>
      <w:r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Notify authorities if product enters sewers or public waters.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6.3 Methods and material for containment and cleaning up 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Small spills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Stop leak if without risk. Move containers from spill area. Dilute with water and mop up if water-soluble.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Alternatively, or if water-insoluble, absorb with an inert dry material and place in an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appropriate waste disposal container.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Dispose of via a licensed waste disposal contractor.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Extensive spills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Stop leak if without risk. Move containers from spill area. Approach the release from upwind.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Prevent entry into sewers, water courses, basements or confined areas. Contain and collect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spillage with non-combustible, absorbent material e.g. sand, earth, vermiculite or diatomaceous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earth and place in container for disposal according to local regulations.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Dispose of via a licensed waste disposal contractor.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Contaminated absorbent material may pose the same hazard as the spilt product.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Note </w:t>
      </w:r>
      <w:r w:rsidRPr="00D55F6B">
        <w:rPr>
          <w:rFonts w:cs="Times New Roman"/>
          <w:sz w:val="20"/>
          <w:szCs w:val="20"/>
        </w:rPr>
        <w:t>See section 1 for emergency and contact addresses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section 13: disposal.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6.4 Reference to other sections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For personal protection, see section 8.</w:t>
      </w:r>
    </w:p>
    <w:p w:rsidR="00C40396" w:rsidRDefault="00C40396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7. Handling and storage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handling: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7.1 Precautions for safe handling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Protective measures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Provide sufficient air exchange and/or exhaust in work rooms. Exhaust ventilation necessary if product is sprayed.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The threshold limit values noted in Chapter 8 must be monitored. In all areas where isocyanate aerosols and/or vapor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concentrations are produced in elevated concentrations, exhaust ventilation must be provided in such a way that the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workplace exposure limits (WEL) is not exceeded. The air should be drawn away from the personnel handling the product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The personal protective measures described in Chapter 8 must be observed. The precautions required in the handling of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isocyanates must be taken. Avoid contact with skin and eyes and the inhalation of vapor.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Advice on general industrial hygiene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Keep away from foodstuffs, drinks and tobacco. Wash hands before breaks and at end of work and use skin-protecting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ointment. Keep working clothes separately. Take off all contaminated clothing immediately.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Emergency eye wash fountains and showers should be available in the immediate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Protection against Fire and Explosion: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Remove all sources of ignition (open fire, sparks, smoking, ...).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7.2 Conditions for safe storage, including any incompatibilities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storage: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Further information about storage conditions 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Keep container dry and tightly closed in a cool and well ventilated place. Further information on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the storage conditions which must be observed to preserve quality can be found in our product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Please save your packaging tightly closed and sealed until use.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Further information about storage conditions 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Remove all sources of ignition (open fire, sparks, smoking, ...).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Vapours are heavier than air and spread along the ground.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With a temperature equal to or higher than flashpoint, the mixture steam-air can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create an inflammable and explosive mixture.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Keep away from : Oxidizing agents , Strong acids , Strong bases 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· 7.3 Specific end use(s): </w:t>
      </w:r>
      <w:r w:rsidRPr="00D55F6B">
        <w:rPr>
          <w:rFonts w:cs="Times New Roman"/>
          <w:sz w:val="20"/>
          <w:szCs w:val="20"/>
        </w:rPr>
        <w:t>see §1.2</w:t>
      </w:r>
    </w:p>
    <w:p w:rsidR="00C40396" w:rsidRDefault="00C40396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8. Exposure controls/personal protection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8.1 Control parameters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Occupational exposure limits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123-86-4 n-Butyl acetate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n-Butyl acetate : Limit value (BE) : 150 ppm (723 mg/m³) (2011)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n-Butyl acetate : Short time value (BE) : 200 ppm (964 mg/m³) (2011)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- Biological limit values </w:t>
      </w:r>
      <w:r w:rsidRPr="00D55F6B">
        <w:rPr>
          <w:rFonts w:cs="Times New Roman"/>
          <w:sz w:val="20"/>
          <w:szCs w:val="20"/>
        </w:rPr>
        <w:t>: They will be included when available.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Derived No Effect Level (DNEL) or Derived Minimal Effect Level (DMEL):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n-Butyl acetate : Worker, acute - local effects, inhalation : 960 mg/m³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lastRenderedPageBreak/>
        <w:t>n-Butyl acetate : Worker, acute - systemic effects, inhalation : 960 mg/m³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n-Butyl acetate : Worker, long-term - local effects, inhalation : 480 mg/m³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n-Butyl acetate : Worker, long-term - systemic effects, inhalation : 480 mg/m³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n-Butyl acetate : Consumer, acute - local effects, inhalation : 859,7 mg/m³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n-Butyl acetate : Consumer, acute - systemic effects, inhalation : 859,7 mg/m³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n-Butyl acetate : Consumer, long-term - local effects, inhalation : 102,34 mg/m³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n-Butyl acetate : Consumer, long-term - systemic effects, inhalation : 102,34 mg/m³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Worker (short-term) 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DNEL Dermal-toxicity local effects: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 quantitative risk assessment possible. Most sensitive end point: sensitization (skin).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DNEL Inhalation-toxicity local effects: 1 mg/m³ air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Most sensitive end point: irritation (Airways)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Worker (long-term) 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DNEL Dermal-toxicity local effects: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 quantitative risk assessment possible. Most sensitive end point: sensitization (skin).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DNEL Inhalation-toxicity local effects: 0,5 mg/m³ air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Most sensitive end point: irritation (Airways)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Worker (short-term) 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DNEL Dermal-toxicity local effects: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 quantitative risk assessment possible. Most sensitive end point: sensitization (skin).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DNEL Inhalation-toxicity local effects: 1 mg/m³ air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Most sensitive end point: irritation (Airways)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Worker (long-term) 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DNEL Dermal-toxicity local effects: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 quantitative risk assessment possible. Most sensitive end point: sensitization (skin).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DNEL Inhalation-toxicity local effects: 0,5 mg/m³ air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Most sensitive end point: irritation (Airways)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Worker (short-term) 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DNEL Dermal - systemic effects: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 quantitative risk assessment possible. Most sensitive end point: sensitization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(Airways).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DNEL Inhalation - systemic effects: 0,07 mg/m³ air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Most sensitive end point: irritation (Airways)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Worker (long-term) 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DNEL Dermal - systemic effects: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 quantitative risk assessment possible. Most sensitive end point: sensitization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(Airways).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DNEL Inhalation - systemic effects: 0,035 mg/m³ air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Most sensitive end point: irritation (Airways)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DNEL Dermal-toxicity local effects: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 quantitative risk assessment possible. Most sensitive end point: sensitization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(Airways).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DNEL Inhalation-toxicity local effects: 0,035 mg/m³ air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Most sensitive end point: irritation (Airways)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Predicted No Effect Concentration (PNEC):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n-Butyl acetate : Fresh water : 0,18 mg/l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n-Butyl acetate : Marine water : 0,018 mg/l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n-Butyl acetate : Fresh water sediment : 0,981 mg/kg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n-Butyl acetate : Marine water sediment : 0,0981 mg/kg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n-Butyl acetate : Soil : 0,0903 mg/kg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n-Butyl acetate : Intermittent release : 0,36 mg/l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n-Butyl acetate : Sewage treatment plant : 35,6 mg/l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Fresh water: 0,127 mg/l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lastRenderedPageBreak/>
        <w:t>Marine water: 0,0127 mg/l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Fresh water sediment: 266700 mg/kg Dry weight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Soil: 53182 mg/kg Dry weight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Sewage treatment plant: 38,28 mg/l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Oral: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Not derived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Fresh water: 0,199 mg/l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Marine water: 0,0199 mg/l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Fresh water sediment: 44551 mg/kg Dry weight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Marine water sediment: 4455 mg/kg Dry weight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Soil: 8884 mg/kg Dry weight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Sewage treatment plant: 100 mg/l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Oral: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Not derived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Fresh water: &gt; 0,0774 mg/l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Marine water: &gt; 0,00774 mg/l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Fresh water sediment: &gt; 0,01334 mg/kg Dry weight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Marine water sediment: &gt; 0,001334 mg/kg Dry weight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Soil: &gt; 0,0026 mg/kg Dry weight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Sewage treatment plant: 8,42 mg/l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Oral: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 xml:space="preserve">Not </w:t>
      </w:r>
      <w:r w:rsidRPr="00D55F6B">
        <w:rPr>
          <w:rFonts w:cs="Times New Roman"/>
          <w:sz w:val="20"/>
          <w:szCs w:val="20"/>
        </w:rPr>
        <w:t>derived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· Additional data: </w:t>
      </w:r>
      <w:r w:rsidRPr="00D55F6B">
        <w:rPr>
          <w:rFonts w:cs="Times New Roman"/>
          <w:sz w:val="20"/>
          <w:szCs w:val="20"/>
        </w:rPr>
        <w:t>Used as basis lists that were valid during Setup.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- 8.2 Exposure controls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Adequate technical management measures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 level of protection and types of controls necessary will vary depending upon potential exposure conditions.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Control measures to consider: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Adequate ventilation should be provided so that exposure limits are not exceeded.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Use explosion proof ventilation equipment.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Ventilation ( Through the floor ), Local exhaust 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Individual protection measures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General protection and health measures: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Personal protective equipment selections vary based on potential exposure conditions such as applications,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handling practices, concentration and ventilation. Information on the selection of protective equipment for use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with this material, as provided below, is based upon intended, normal usage.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The usual precautions when handling chemicals shall be observed.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Keep away from food, drink.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Appropriate techniques should be used to remove potentially contaminated clothing.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Emergency eye wash fountains and showers should be available in the immediate vicinity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of any potential exposure.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Was</w:t>
      </w:r>
      <w:r w:rsidR="00C40396">
        <w:rPr>
          <w:rFonts w:cs="Times New Roman"/>
          <w:sz w:val="20"/>
          <w:szCs w:val="20"/>
        </w:rPr>
        <w:t>h</w:t>
      </w:r>
      <w:r w:rsidRPr="00D55F6B">
        <w:rPr>
          <w:rFonts w:cs="Times New Roman"/>
          <w:sz w:val="20"/>
          <w:szCs w:val="20"/>
        </w:rPr>
        <w:t xml:space="preserve"> your hands after handling chemical products, forearms and face thoroughly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before you eat, drink or go to the toilet and at the end of the working day.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Wash contaminated clothing before re-use.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Respiratory Protection: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Respiratory protection required in insufficiently ventilated working areas and during spraying.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If engineering controls do not maintain airborne contaminant concentrations at a level which is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adequate to protect worker health, an approved respirator may be appropriate. Respirator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selection, use, and maintenance must be in accordance with regulatory requirements, if applicable.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Types of respirators to be considered for this material include: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CE-approved mask for organic vapours and solvents (type A, brown).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In case of hypersensitivity of the respiratory tract and skin (e.g. asthmatics and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those who suffer from chronic bronchitis and chronic skin complaint) it is inadvisable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to work with the product.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For high airborne concentrations, use an approved supplied-air respirator, operated in positive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pressure mode. Supplied air respirators with an escape bottle may be appropriate when oxygen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levels are inadequate, gas/vapour warning properties are poor, or if air purifying filter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capacity/rating may be exceeded.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Hand Protection: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Safety Gloves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Any specific glove information provided is based on published literature and glove manufacturer data.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Glove suitability and breakthrough time will differ depending on the specific use conditions.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lastRenderedPageBreak/>
        <w:t>Contact the glove manufacturer for specific advice on glove selection and breakthrough times for your use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conditions. Inspect and replace worn or damaged gloves.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The types of gloves to be considered for this material include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Chemical resistant gloves are recommended. If contact with forearms is likely wear gauntlet style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gloves. Nitrile, CEN standards EN 420 and EN 374 provide general requirements and lists of glove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types.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Penetration time of glove material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Conditionally suitable materials for protective gloves (EN 374)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Butyl rubber : penetration time 60' - thickness 0,3-0,7 mm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Nitril rubber : penetration time 30' - thickness 0,9 mm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Only suitable as splash protection. Only suitable for brief exposure. In the event of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contamination: Recommendation: contaminated gloves should be disposed of.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Eye Protection: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Slim fit safety glasses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If contact is likely, safety glasses with side shields are recommended.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Skin and Body Protection: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Any specific clothing information provided is based on published literature or manufacturer data.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 types of clothing to be considered for this material include: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Chemical / oil resistant clothing if contact with material is likely.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Specific Hygiene Measures: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Always observe good personal hygiene measures, such as washing after handling the material and before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eating, drinking, and/or smoking. Routinely wash work clothing and protective equipment to remove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contaminants. Discard contaminated clothing and footwear that cannot be cleaned.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Practice good housekeeping.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Advice on personal protection, applies to high exposure levels. Vote per situation an appropriate level of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personal protection off on a risk assessment.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- Environmental exposure controls </w:t>
      </w:r>
      <w:r w:rsidRPr="00D55F6B">
        <w:rPr>
          <w:rFonts w:cs="Times New Roman"/>
          <w:sz w:val="20"/>
          <w:szCs w:val="20"/>
        </w:rPr>
        <w:t>see § 6, 7, 12 en 13.</w:t>
      </w:r>
    </w:p>
    <w:p w:rsidR="00C40396" w:rsidRDefault="00C40396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9. Physical and chemical properties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9.1 Information on basic physical and chemical properties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Physical State (20°C) </w:t>
      </w:r>
      <w:r w:rsidRPr="00D55F6B">
        <w:rPr>
          <w:rFonts w:cs="Times New Roman"/>
          <w:sz w:val="20"/>
          <w:szCs w:val="20"/>
        </w:rPr>
        <w:t>: Liquid.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Form/Color </w:t>
      </w:r>
      <w:r w:rsidRPr="00D55F6B">
        <w:rPr>
          <w:rFonts w:cs="Times New Roman"/>
          <w:sz w:val="20"/>
          <w:szCs w:val="20"/>
        </w:rPr>
        <w:t>: Colorless to yellowish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Odour </w:t>
      </w:r>
      <w:r w:rsidRPr="00D55F6B">
        <w:rPr>
          <w:rFonts w:cs="Times New Roman"/>
          <w:sz w:val="20"/>
          <w:szCs w:val="20"/>
        </w:rPr>
        <w:t>: Mild odour.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Odour threshold </w:t>
      </w:r>
      <w:r w:rsidRPr="00D55F6B">
        <w:rPr>
          <w:rFonts w:cs="Times New Roman"/>
          <w:sz w:val="20"/>
          <w:szCs w:val="20"/>
        </w:rPr>
        <w:t>: No data available.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pH value </w:t>
      </w:r>
      <w:r w:rsidRPr="00D55F6B">
        <w:rPr>
          <w:rFonts w:cs="Times New Roman"/>
          <w:sz w:val="20"/>
          <w:szCs w:val="20"/>
        </w:rPr>
        <w:t>: 7 à 8,5 (20°C)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Congealing/Melting point </w:t>
      </w:r>
      <w:r w:rsidRPr="00D55F6B">
        <w:rPr>
          <w:rFonts w:cs="Times New Roman"/>
          <w:sz w:val="20"/>
          <w:szCs w:val="20"/>
        </w:rPr>
        <w:t>: 0 °C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Boiling Point/Range (1013 hPa) </w:t>
      </w:r>
      <w:r w:rsidRPr="00D55F6B">
        <w:rPr>
          <w:rFonts w:cs="Times New Roman"/>
          <w:sz w:val="20"/>
          <w:szCs w:val="20"/>
        </w:rPr>
        <w:t>: 100 °C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Softening Area </w:t>
      </w:r>
      <w:r w:rsidRPr="00D55F6B">
        <w:rPr>
          <w:rFonts w:cs="Times New Roman"/>
          <w:sz w:val="20"/>
          <w:szCs w:val="20"/>
        </w:rPr>
        <w:t>: No data available.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Evaporation rate </w:t>
      </w:r>
      <w:r w:rsidRPr="00D55F6B">
        <w:rPr>
          <w:rFonts w:cs="Times New Roman"/>
          <w:sz w:val="20"/>
          <w:szCs w:val="20"/>
        </w:rPr>
        <w:t>: No data available.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Flash point </w:t>
      </w:r>
      <w:r w:rsidRPr="00D55F6B">
        <w:rPr>
          <w:rFonts w:cs="Times New Roman"/>
          <w:sz w:val="20"/>
          <w:szCs w:val="20"/>
        </w:rPr>
        <w:t>ca. 40 °C DIN 53213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Flammability (solid, gas) </w:t>
      </w:r>
      <w:r w:rsidRPr="00D55F6B">
        <w:rPr>
          <w:rFonts w:cs="Times New Roman"/>
          <w:sz w:val="20"/>
          <w:szCs w:val="20"/>
        </w:rPr>
        <w:t>: No data available.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Combustion Time </w:t>
      </w:r>
      <w:r w:rsidRPr="00D55F6B">
        <w:rPr>
          <w:rFonts w:cs="Times New Roman"/>
          <w:sz w:val="20"/>
          <w:szCs w:val="20"/>
        </w:rPr>
        <w:t>: Do not apply.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Burning Rate </w:t>
      </w:r>
      <w:r w:rsidRPr="00D55F6B">
        <w:rPr>
          <w:rFonts w:cs="Times New Roman"/>
          <w:sz w:val="20"/>
          <w:szCs w:val="20"/>
        </w:rPr>
        <w:t>: Do not apply.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Explosion limits in air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upper: 9.5% (V) / lower: 0.9% (V)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n-Butyl acetate upper: 7.5% (V) / lower: 1,2% (V)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Vapour pressure : </w:t>
      </w:r>
      <w:r w:rsidRPr="00D55F6B">
        <w:rPr>
          <w:rFonts w:cs="Times New Roman"/>
          <w:sz w:val="20"/>
          <w:szCs w:val="20"/>
        </w:rPr>
        <w:t>approx. 17 hPa at 20 ° c EG A4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approx. 26 hPa at 50 ° c EG A4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approx. 28 hPa at 55 ° c EG A4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Vapor pressure of file parts 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approx. 0,007 hPa at 20 °C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 &lt; 0,0001 hPa bat 20 °C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diisocyanate homopolymer (vapour pressure balance/OECD Nr.104)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 &lt; 0,00001 hPa at 20 °C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diisocyanate homopolymer (vapour pressure balance/OECD Nr.104)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Relative vapour density (air=1) </w:t>
      </w:r>
      <w:r w:rsidRPr="00D55F6B">
        <w:rPr>
          <w:rFonts w:cs="Times New Roman"/>
          <w:sz w:val="20"/>
          <w:szCs w:val="20"/>
        </w:rPr>
        <w:t>: No data available.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Relative density (water=1) </w:t>
      </w:r>
      <w:r w:rsidRPr="00D55F6B">
        <w:rPr>
          <w:rFonts w:cs="Times New Roman"/>
          <w:sz w:val="20"/>
          <w:szCs w:val="20"/>
        </w:rPr>
        <w:t>approx. 1,053 g/cm3 at 20 °C DIN 51757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Solubility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lastRenderedPageBreak/>
        <w:t xml:space="preserve">Solubility in water </w:t>
      </w:r>
      <w:r w:rsidRPr="00D55F6B">
        <w:rPr>
          <w:rFonts w:cs="Times New Roman"/>
          <w:sz w:val="20"/>
          <w:szCs w:val="20"/>
        </w:rPr>
        <w:t>Not miscible at 15 °C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Log P Octanol/Water (20°C) </w:t>
      </w:r>
      <w:r w:rsidRPr="00D55F6B">
        <w:rPr>
          <w:rFonts w:cs="Times New Roman"/>
          <w:sz w:val="20"/>
          <w:szCs w:val="20"/>
        </w:rPr>
        <w:t>: No data available.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Auto-ignition temperature </w:t>
      </w:r>
      <w:r w:rsidRPr="00D55F6B">
        <w:rPr>
          <w:rFonts w:cs="Times New Roman"/>
          <w:sz w:val="20"/>
          <w:szCs w:val="20"/>
        </w:rPr>
        <w:t>Not been established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Ignition temperature </w:t>
      </w:r>
      <w:r w:rsidRPr="00D55F6B">
        <w:rPr>
          <w:rFonts w:cs="Times New Roman"/>
          <w:sz w:val="20"/>
          <w:szCs w:val="20"/>
        </w:rPr>
        <w:t>ca. 425 °C DIN 51794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Decomposition temperature </w:t>
      </w:r>
      <w:r w:rsidRPr="00D55F6B">
        <w:rPr>
          <w:rFonts w:cs="Times New Roman"/>
          <w:sz w:val="20"/>
          <w:szCs w:val="20"/>
        </w:rPr>
        <w:t>: No data available.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Explosive Properties </w:t>
      </w:r>
      <w:r w:rsidRPr="00D55F6B">
        <w:rPr>
          <w:rFonts w:cs="Times New Roman"/>
          <w:sz w:val="20"/>
          <w:szCs w:val="20"/>
        </w:rPr>
        <w:t>Not been established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Dust Explosion Class </w:t>
      </w:r>
      <w:r w:rsidRPr="00D55F6B">
        <w:rPr>
          <w:rFonts w:cs="Times New Roman"/>
          <w:sz w:val="20"/>
          <w:szCs w:val="20"/>
        </w:rPr>
        <w:t>: Not applicable.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Oxidizing properties </w:t>
      </w:r>
      <w:r w:rsidRPr="00D55F6B">
        <w:rPr>
          <w:rFonts w:cs="Times New Roman"/>
          <w:sz w:val="20"/>
          <w:szCs w:val="20"/>
        </w:rPr>
        <w:t>Not been established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9.2 Other information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Comments </w:t>
      </w:r>
      <w:r w:rsidRPr="00D55F6B">
        <w:rPr>
          <w:rFonts w:cs="Times New Roman"/>
          <w:sz w:val="20"/>
          <w:szCs w:val="20"/>
        </w:rPr>
        <w:t>No other relevant information available.</w:t>
      </w:r>
    </w:p>
    <w:p w:rsidR="00C40396" w:rsidRDefault="00C40396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10. Stability and reactivity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10.1 Reactivity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Reacts violently with oxidizing agents, strong acids and strong lyes.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10.2 Chemical stability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Stable at normal circumstances.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10.3 Possibility of hazardous reactions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Possibility of hazardous reactions: Exothermic reaction with amines and alcohols; reacts slowly with water forming CO2,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in closed containers risk of bursting owing to increase of pressure.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10.4 Conditions to avoid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Heat, sparks, open flames and other sources of ignition.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10.5 Incompatible materials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Oxidizing agents , Strong acids , Strong bases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10.6 Hazardous decomposition products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 hazardous decomposition products at professional storage and treatment.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Fire may liberate carbon oxides (CO) and smoke.</w:t>
      </w:r>
    </w:p>
    <w:p w:rsidR="00C40396" w:rsidRDefault="00C40396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11. Toxicological information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Toxicological studies on the product are not yet available.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Please find below the data available to us: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11.1 Information on toxicological effects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Acute toxicity, oral: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LD50 rat: &gt;= 5.000 mg/kg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OECD Test Guideline 423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Toxicological studies of a comparable product.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n-Butyl acetate : LD50 (Rat, oral) : 10760 mg/kg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Acute toxicity, dermal: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LD50 rat, male/female: &gt; 2.000 mg/kg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OECD Test Guideline 402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LD50 (Rabbit, female, dermal) : &gt; 2000 mg/kg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LD50 rat, male/female: &gt; 2.000 mg/kg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OECD Test Guideline 402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Toxicological studies of a comparable product.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LD50 (Rabbit, female, dermal) : &gt; 2000 mg/kg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Toxicological studies of a comparable product.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LD50 rat, male/female: &gt; 7.000 mg/kg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OECD Test Guideline 402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n-Butyl acetate : LD50 (Rabbit, dermal) : &gt; 14000 mg/kg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Acute toxicity, inhalation: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LC50 rat, female: 390 mg/m³, 4 h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Test atmosphere: dust/mist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lastRenderedPageBreak/>
        <w:t>Method: OECD Test Guideline 403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 substance was tested in a form (i.e. specific particle size distribution) that is different from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the forms in which the substance is placed on the market and in which it can reasonably be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expected to be used. Based on the “split-entry” concept and available data on particle size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during end-use of the substance a modified classification for acute inhalation toxicity is justified.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LC50 rat, female: 390 mg/m³, 4 h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Test atmosphere: dust/mist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OECD Test Guideline 403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Toxicological studies of a comparable product.</w:t>
      </w:r>
    </w:p>
    <w:p w:rsidR="00C40396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 substance was tested in a form (i.e. specific particle size distribution) that is different from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the forms in which the substance is placed on the market and in which it can reasonably be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expected to be used. Based on the “split-entry” concept and available data on particle size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during end-use of the substance a modified classification for acute inhalation toxicity is justified.</w:t>
      </w:r>
      <w:r w:rsidR="00C40396">
        <w:rPr>
          <w:rFonts w:cs="Times New Roman"/>
          <w:sz w:val="20"/>
          <w:szCs w:val="20"/>
        </w:rPr>
        <w:t xml:space="preserve"> 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LC50 rat, male/female: 124 mg/m³, 4 h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Test atmosphere: mist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OECD Test Guideline 403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n-Butyl acetate : LC50 (Rat, inhalation, 4 h) : &gt; 20 mg/l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Primary skin irritation: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Species: rabbit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Result: An irritant effect cannot be distinguished from a mechanical load caused by the removal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of the test specimen.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OECD Test Guideline 404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Toxicological studies of a comparable product.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Primary mucosa irritation: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Species: rabbit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Result: slight irritant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OECD Test Guideline 405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Toxicological studies of a comparable product.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sensitization: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Skin sensitization (local lymph node assay (LLNA)):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Species: mouse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Result: positive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OECD Test Guideline 429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Toxicological studies of a comparable product.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 pulmonary sensitization observed in animal tests.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 pulmonary sensitization potential was observed in guinea pigs after either intradermal or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inhalative induction with polyisocyanate based on hexamethylene diisocyanate.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Subacute, subchronic and prolonged toxicity: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 of application: Inhalatief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Species: rat, male/female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Dose Levels: 0 - 0,5 - 3,3 - 26,4 mg/m³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Exposure Time: 90 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Frequency of treatment: 6h / day, 5 d./Week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NOAEL: 3,3 mg/m³ Air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Test substance: as aerosol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OECD Test Guideline 413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There are no instructions on other tissue damage than to the respiratory organs.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 of application: Inhalatief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Species: rat, male/female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Dose Levels: 0 - 0,5 - 3,3 - 26,4 mg/m³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Exposure Time: 90 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Frequency of treatment: 6h / day, 5 d./Week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NOAEL: 3,3 mg/m³ Air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Test substance: as aerosol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lastRenderedPageBreak/>
        <w:t>Method: OECD Test Guideline 413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Toxicological studies of a comparable product.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There are no instructions on other tissue damage than to the respiratory organs.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 of application: Inhalatief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Species: rat, male/female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Dose Levels: 0 - 0,035 - 0,175 - 1,23 mg/m3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Exposure Time: 2 a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Frequency of treatment: 6h / day, 5 d./Week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NOAEL: 0,035 mg/m3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LOAEL: 0,175 mg/m3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Target Organs: Nasal Cavity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Test substance: as aerosol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OECD Test Guideline 453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Outcome: irritation to nasal cavity and lungs.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Carcinogenicity: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 data available.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 data available.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Species: rat, male/female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 of application: Inhalatief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Dose Levels: 0 - 0,035 - 0,175 - 1,23 mg/m3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Exposure Time: 2 a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Frequency of treatment: 6h / day, 5 d./Week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Test substance: as aerosol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OECD Test Guideline 453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Showed no carcinogenic effects in animal studies.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Reproduction toxicity/fertility: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Available data show no indication for reproductive toxicity.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Available data show no indication for reproductive toxicity.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Species: rat, male/female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 of application: Inhalatief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Dose Levels: 0 - 0,005 - 0,050 - 0,300 ppm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Exposure Time: male: 28 days, female: 50 days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Frequency of treatment: 6h / day, 7 d./Week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Exposure time before mating-male: 14 d.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Exposure time before mating-female: 14 d.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Test substance: as aerosol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NOAEL (no-effect)-parents: 0.005 ppm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NOAEL (no-effect) – F1: 0,3 ppm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OECD Test Guideline 422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Fertility and so-called "organic" disability studies showed no effect on fertility.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Reproductive Toxicity/Teratogenicity: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Experiments with animals with structurally similar compounds show no indication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of specific reproductive toxicity.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Experiments with animals with structurally similar compounds show no indication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of specific reproductive toxicity.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NOAEL (teratogenic): 0,3 ppm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NOAEL (maternal): 0,005 ppm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lastRenderedPageBreak/>
        <w:t>Species: rat, female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 of application: Inhalatief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Dose Levels: 0 - 0,005 - 0,050 - 0,300 ppm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Frequency of treatment: 6 hours/day (exposure time: day 0-19 of gestation time)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Test substance: as aerosol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OECD Test Guideline 414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Did not show teratogenic effects in animal experiments.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Genotoxicity in vitro: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Test type: Salmonella/microsome test (Ames test)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Result: No indication of mutagenic effects.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OECD Test Guideline 471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Toxicological studies of a comparable product.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Genotoxicity in vivo: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Test type: micronucleus test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Species: mouse, male/female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 of application: Inhalatief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Exposure Time: 6 h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Result: negative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OECD Test Guideline 474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Test substance: as aerosol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STOT-assessment – single exposure: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Routes Of Exposure: Inhalatief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May cause respiratory irritation.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Routes Of Exposure: Inhalatief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May cause respiratory irritation.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Routes Of Exposure: Inhalatief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Target Organs: Respiratory System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May cause respiratory irritation.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STOT-assessment – repeated exposure: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Based on available data; to the classification criteria is not met.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Based on available data; to the classification criteria is not met.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Based on available data; to the classification criteria is not met.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Aspiration Toxicity: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Based on available data; to the classification criteria is not met.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Based on available data; to the classification criteria is not met.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Based on available data; to the classification criteria is not met.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CMR - rating: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Carcinogenicity: based on available data; to the classification criteria is not met.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Mutagenicity: in-vitro testing did not show mutagenic effects.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Teratogenicity: based on available data; to the classification criteria is not met.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Reproduction toxicity/fertility: based on available data; to the classification criteria is not met.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Carcinogenicity: based on available data; to the classification criteria is not met.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Mutagenicity: in-vitro testing did not show mutagenic effects.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Teratogenicity: based on available data; to the classification criteria is not met.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Reproduction toxicity/fertility: based on available data; to the classification criteria is not met.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lastRenderedPageBreak/>
        <w:t>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Carcinogenicity: showed no carcinogenic effects in animal studies.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Mutagenicity: in-vitro testing did not show mutagenic effects.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Teratogenicity: did not show teratogenic effects in animal experiments.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Reproduction toxicity/fertility: animal testing did not show any effects on fertility.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Toxicology Assessment: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Acute effects: harmful by inhalation.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Sensitization: may cause sensitisation by skin contact.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Acute effects: harmful by inhalation.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Sensitization: may cause sensitisation by skin contact.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Acute effects: deadly when inhaled. Harmful if swallowed. Causes severe skin burns and eye damage.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Sensitization: may cause sensitisation by inhalation and skin contact.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Repeated dose toxicity: based on available data; to the classification criteria is not met.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Additional information: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Special properties/effects: Over-exposure entails the risk of concentration-dependent irritating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effects on eyes, nose throat, and respiratory tract. Delayed appearance of the complaints and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development of hypersensitivity (difficult breathing, coughing, asthma) are possible.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Hypersensitive persons may suffer from these effects even at low isocyanate concentrations,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including concentrations below the UK Workplace Exposure Limit (WEL). Prolonged contact with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 skin may cause tanning and irritant effects.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Animal tests and other research indicate that skin contact with diisocyanates can play a role in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causing isocyanate sensitization and respiratory reaction.</w:t>
      </w:r>
    </w:p>
    <w:p w:rsidR="00C40396" w:rsidRDefault="00C40396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12. Ecological information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Ecotoxicological investigations to the product is not available.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Do not allow to escape into waterways, wastewater or soil.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Please find below the data available to us: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12.1 Toxicity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Acute Fish toxicity: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LC50 35,2 mg/l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Species: Danio rerio (zebra fish)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Exposure duration: 96 h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OECD Test Guideline 203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Ecotoxicological reports on a comparable product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Acute toxicity for daphnia: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EC50 &gt; 100 mg/l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Species: Daphnia magna (Water flea)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Exposure duration: 48 h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OECD Test Guideline 202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Ecotoxicological reports on a comparable product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Acute toxicity for algae: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ErC50 72 mg/l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Species: Desmodesmus subspicatus (Green algae)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Exposure duration: 72 h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OECD Test Guideline 201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Ecotoxicological reports on a comparable product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Acute bacterial toxicity: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EC50 &gt; 10.000 mg/l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Species: activated sludge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OECD Test Guideline 209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Ecotoxicological reports on a comparable product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Ecotoxicology Rating: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Acute aquatic toxicity: based on available data; to the classification criteria is not met.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lastRenderedPageBreak/>
        <w:t>There is no evidence for a chronic aquatic toxicity.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In biological treatment plants on the basis of low toxicity bacteria exists no risk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of obstruction of the purification ability.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Acute aquatic toxicity: based on available data; to the classification criteria is not met.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There is no evidence for a chronic aquatic toxicity.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In biological treatment plants on the basis of low toxicity bacteria exists no risk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of obstruction of the purification ability.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Acute aquatic toxicity: based on available data; to the classification criteria is not met.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There is no evidence for a chronic aquatic toxicity.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In biological treatment plants on the basis of low toxicity bacteria exists no risk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of obstruction of the purification ability.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12.2 Persistence and degradability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Biodegradability: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Biodegradation: 0%, i.e. not readily degradable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OECD Test Guideline 301 F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Ecotoxicological investigations to a similar product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Stability in water: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Test type: Hydrolysis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Half Life: 7,7 h at 23 °C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 substance quickly hydrolyzes in water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Testtype: Hydrolyse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Half Life: 7,7 h at 23 °C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OECD Test Guideline 111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 substance quickly hydrolyzes in water Surveys of a similar product.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Testtype: Hydrolyse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Half Life: 0,23 h at 23 °C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 substance quickly hydrolyzes in water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Photo Degradation: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Test type: Photo transformation in air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Temperature: 25 °C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Sensitizer: OH-radicals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Half-life photolysis: 10.3 h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SRC-AOP (calculation)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When the product is released or is exposed to air, the product will be quickly broken down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by photochemical processes.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Test type: Photo transformation in air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Temperature: 25 °C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Sensitizer: OH-radicals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Half-life photolysis: 3 h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SRC-AOP (calculation)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When the product is released or is exposed to air, the product will be quickly broken down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by photochemical processes.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Investigations of the hydrolysis products.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Test type: Photo transformation in air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Temperature: 25 °C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Sensitizer: OH-radicals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Half-life photolysis: 11,7 h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SRC-AOP (calculation)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When the product is released or is exposed to air, the product will be quickly broken down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by photochemical processes.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Test type: Photo transformation in air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lastRenderedPageBreak/>
        <w:t>Temperature: 25 °C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Sensitizer: OH-radicals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Half-life photolysis: 3,1 h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SRC-AOP (calculation)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When the product is released or is exposed to air, the product will be quickly broken down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by photochemical processes.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Investigations of the hydrolysis products.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Test type: Photo transformation in air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Temperature: 25 °C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Sensitizer: OH-radicals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Half-life photolysis: 48,4 h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SRC-AOP (calculation)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When the product is released or is exposed to air, the product will be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moderated degraded by photochemical processes.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Test type: Photo transformation in air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Temperature: 25 °C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Sensitizer: OH-radicals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Half-life photolysis: 5,6 h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SRC-AOP (calculation)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When the product is released or is exposed to air, the product will be quickly broken down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by photochemical processes.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Investigations of the hydrolysis products.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Volatility (Henry constant):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Calculated value = &lt; 0.000001 Pa*m3/mol at 25°C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Bond method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 substance should be classified as non-volatile in water.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Calculated value = &lt; 0.000001 Pa*m3/mol at 25°C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Bond method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 substance should be classified as non-volatile in water.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Calculated value = &lt; 0.000001 Pa*m3/mol at 25°C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Bond method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 substance should be classified as non-volatile in water.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Calculated value = 5 Pa*m3/mol at 25°C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Bond method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 substance should be classified as non-volatile in water.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12.3 Bioaccumulative potential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Bioaccumulation: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Species: value is calculated.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Bioconcentration factor (BCF): 3.2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(calculated)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 growth of aquatic organisms is not to be expected.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Species: value is calculated.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Bioconcentration factor (BCF):367,7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(calculated)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 growth of aquatic organisms is not to be expected.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Investigations of the hydrolysis products.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Species: value is calculated.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Bioconcentration factor (BCF): 706,2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(calculated)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 substance quickly hydrolyzes in water.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 growth of aquatic organisms is not to be expected.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lastRenderedPageBreak/>
        <w:t>Species: value is calculated.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Bioconcentration factor (BCF): 10,11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(calculated)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 growth of aquatic organisms is not to be expected.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Investigations of the hydrolysis products.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Species: value is calculated.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Bioconcentration factor (BCF): 57,6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(calculated)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 growth of aquatic organisms is not to be expected.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Species: value is calculated.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Bioconcentration factor (BCF): 3,2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Method: (calculated)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 growth of aquatic organisms is not to be expected.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Investigations of the hydrolysis products.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12.4 Mobility in soil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Distribution between environmental compartments: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Adsorbsion/soil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not apply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Adsorbsion/soil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not apply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Adsorbsion/soil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not apply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Distribution in the environment: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not apply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not apply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not apply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12.5 Results of PBT and vPvB assessment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This substance does not meet the criteria for classification as PBT or vPvB.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This substance does not meet the criteria for classification as PBT or vPvB.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This substance does not meet the criteria for classification as PBT or vPvB.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12.6 Other adverse effects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Further comments regarding ecotoxicological aspects: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 resin is with water at the surface under formation of carbon dioxide is converted into a fixed, not soluble reaction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product (poly-urea) with high melting point.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This reaction is strongly promoted by surfactants (e.g. liquid soap) or water-soluble substances.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Poly urea is to experience right now inert and not biodegradable.</w:t>
      </w:r>
    </w:p>
    <w:p w:rsidR="00C40396" w:rsidRDefault="00C40396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bookmarkStart w:id="0" w:name="_GoBack"/>
      <w:bookmarkEnd w:id="0"/>
      <w:r w:rsidRPr="00D55F6B">
        <w:rPr>
          <w:rFonts w:cs="Times New Roman"/>
          <w:b/>
          <w:bCs/>
          <w:sz w:val="20"/>
          <w:szCs w:val="20"/>
        </w:rPr>
        <w:t>13. Disposal considerations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 waste removal recommendations apply to the products in the condition in which it is delivered.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At elimination the laws and regulations in force are complied with and take account of the condition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in which the product is to drain.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13.1 Waste treatment methods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Waste from residues/Unused products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Disposal Methods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Producing waste should always be avoided as far as possible or be limited to a minimum.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Product residues may not be disposed of through the sewer, but need to be processed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in an appropriate waste water treatment plant.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Let excess not to recycle products drains by a reputable licensed waste disposal plant.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Disposal of this product, solutions and all by-products must always be made in accordance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 xml:space="preserve">with the applicable legislation in the </w:t>
      </w:r>
      <w:r w:rsidRPr="00D55F6B">
        <w:rPr>
          <w:rFonts w:cs="Times New Roman"/>
          <w:sz w:val="20"/>
          <w:szCs w:val="20"/>
        </w:rPr>
        <w:lastRenderedPageBreak/>
        <w:t>field of environmental protection and waste treatment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and with all the other regional or locally applicable regulations. The empty packaging should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be recycled. Incineration or landfill should only be considered when recycling is not possible.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The product and its container must be disposed of in a safe way. Empty drums or inliner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can contain any residual product. Avoid dissemination of spilled material and waste material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and prevent that this comes into contact with soil, waterways, drains and sewers.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Hazardous Waste &amp; Packaging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: Producing waste should always be avoided as far as possible or be limited to a minimum.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Dispose in accordance with applicable international, national and local laws, ordinances and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statutes. For disposal within the EC, the appropriate code according to the European Waste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Catalogue (EWC) should be used.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After final product withdrawal, all residues must be removed from containers (drip-free, powder free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or paste-free). Once the product residues adhering to the walls of the containers have been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rendered harmless, the product and hazard labels must be invalidated. These containers can be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returned for recycling to the appropriate centres set up within the framework of the existing takeback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scheme of the chemical industry. Containers must be recycled in compliance with national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legislation and environmental regulations.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Special precautions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None disposal into waste water.</w:t>
      </w:r>
    </w:p>
    <w:p w:rsidR="00C40396" w:rsidRDefault="00C40396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14. Transport information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Transport (private)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Transport the materials always in sealed packaging, which stand upright, labeled and secured.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Make sure that the persons who carry the product know what they need to do in case of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an accident or spillage.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ROAD TRANSPORT (ADR/RID)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14.1 UN number </w:t>
      </w:r>
      <w:r w:rsidRPr="00D55F6B">
        <w:rPr>
          <w:rFonts w:cs="Times New Roman"/>
          <w:sz w:val="20"/>
          <w:szCs w:val="20"/>
        </w:rPr>
        <w:t>UN 1263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14.2 UN proper shipping name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· ADR: </w:t>
      </w:r>
      <w:r w:rsidRPr="00D55F6B">
        <w:rPr>
          <w:rFonts w:cs="Times New Roman"/>
          <w:sz w:val="20"/>
          <w:szCs w:val="20"/>
        </w:rPr>
        <w:t>UN 1263 Paint- Paint related products, 3, III, ADR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· IMDG, IATA: </w:t>
      </w:r>
      <w:r w:rsidRPr="00D55F6B">
        <w:rPr>
          <w:rFonts w:cs="Times New Roman"/>
          <w:sz w:val="20"/>
          <w:szCs w:val="20"/>
        </w:rPr>
        <w:t>ADR-Klasse, 3, III, (23°C), UN1263, Paint- Paint related products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14.3 Transport hazard classe(s):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ADR · IMDG, IATA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· Class </w:t>
      </w:r>
      <w:r w:rsidRPr="00D55F6B">
        <w:rPr>
          <w:rFonts w:cs="Times New Roman"/>
          <w:sz w:val="20"/>
          <w:szCs w:val="20"/>
        </w:rPr>
        <w:t xml:space="preserve">3 Flammable liquids. </w:t>
      </w:r>
      <w:r w:rsidRPr="00D55F6B">
        <w:rPr>
          <w:rFonts w:cs="Times New Roman"/>
          <w:b/>
          <w:bCs/>
          <w:sz w:val="20"/>
          <w:szCs w:val="20"/>
        </w:rPr>
        <w:t xml:space="preserve">· Class </w:t>
      </w:r>
      <w:r w:rsidRPr="00D55F6B">
        <w:rPr>
          <w:rFonts w:cs="Times New Roman"/>
          <w:sz w:val="20"/>
          <w:szCs w:val="20"/>
        </w:rPr>
        <w:t>3 Flammable liquids.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· Label </w:t>
      </w:r>
      <w:r w:rsidRPr="00D55F6B">
        <w:rPr>
          <w:rFonts w:cs="Times New Roman"/>
          <w:sz w:val="20"/>
          <w:szCs w:val="20"/>
        </w:rPr>
        <w:t xml:space="preserve">3 </w:t>
      </w:r>
      <w:r w:rsidRPr="00D55F6B">
        <w:rPr>
          <w:rFonts w:cs="Times New Roman"/>
          <w:b/>
          <w:bCs/>
          <w:sz w:val="20"/>
          <w:szCs w:val="20"/>
        </w:rPr>
        <w:t xml:space="preserve">· Label </w:t>
      </w:r>
      <w:r w:rsidRPr="00D55F6B">
        <w:rPr>
          <w:rFonts w:cs="Times New Roman"/>
          <w:sz w:val="20"/>
          <w:szCs w:val="20"/>
        </w:rPr>
        <w:t>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14.4 Packing group: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· ADR, IMDG, IATA </w:t>
      </w:r>
      <w:r w:rsidRPr="00D55F6B">
        <w:rPr>
          <w:rFonts w:cs="Times New Roman"/>
          <w:sz w:val="20"/>
          <w:szCs w:val="20"/>
        </w:rPr>
        <w:t>III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14.5 Environmental hazards: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- Environmental Hazard </w:t>
      </w:r>
      <w:r w:rsidRPr="00D55F6B">
        <w:rPr>
          <w:rFonts w:cs="Times New Roman"/>
          <w:sz w:val="20"/>
          <w:szCs w:val="20"/>
        </w:rPr>
        <w:t xml:space="preserve">NO </w:t>
      </w:r>
      <w:r w:rsidRPr="00D55F6B">
        <w:rPr>
          <w:rFonts w:cs="Times New Roman"/>
          <w:b/>
          <w:bCs/>
          <w:sz w:val="20"/>
          <w:szCs w:val="20"/>
        </w:rPr>
        <w:t xml:space="preserve">- Marine pollution </w:t>
      </w:r>
      <w:r w:rsidRPr="00D55F6B">
        <w:rPr>
          <w:rFonts w:cs="Times New Roman"/>
          <w:sz w:val="20"/>
          <w:szCs w:val="20"/>
        </w:rPr>
        <w:t>NO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14.6 Special precautions for user: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Flammable. Protect against moisture.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Separated from food, beverages and tobacco.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Heat-sensitive starting from + 50 °C.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· Danger number: </w:t>
      </w:r>
      <w:r w:rsidRPr="00D55F6B">
        <w:rPr>
          <w:rFonts w:cs="Times New Roman"/>
          <w:sz w:val="20"/>
          <w:szCs w:val="20"/>
        </w:rPr>
        <w:t>30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- Hazard Label(s): </w:t>
      </w:r>
      <w:r w:rsidRPr="00D55F6B">
        <w:rPr>
          <w:rFonts w:cs="Times New Roman"/>
          <w:sz w:val="20"/>
          <w:szCs w:val="20"/>
        </w:rPr>
        <w:t>3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· EmS-N°: </w:t>
      </w:r>
      <w:r w:rsidRPr="00D55F6B">
        <w:rPr>
          <w:rFonts w:cs="Times New Roman"/>
          <w:sz w:val="20"/>
          <w:szCs w:val="20"/>
        </w:rPr>
        <w:t>F-E,S-D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14.7 Transport in bulk according to Annex II of MARPOL 73/78 and the IBC Code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Not available.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Transport/further information: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ADR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· Tunnel Restriction code </w:t>
      </w:r>
      <w:r w:rsidRPr="00D55F6B">
        <w:rPr>
          <w:rFonts w:cs="Times New Roman"/>
          <w:sz w:val="20"/>
          <w:szCs w:val="20"/>
        </w:rPr>
        <w:t>D/E</w:t>
      </w:r>
    </w:p>
    <w:p w:rsidR="00C40396" w:rsidRDefault="00C40396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15. Regulatory information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15.1 Safety, health and environmental regulations/legislation specific for the substance or mixture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Falls under EU Council Directive 96/82/EC (Seveso II directive):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Annex I no. 6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Water contaminating class (Germany): </w:t>
      </w:r>
      <w:r w:rsidRPr="00D55F6B">
        <w:rPr>
          <w:rFonts w:cs="Times New Roman"/>
          <w:sz w:val="20"/>
          <w:szCs w:val="20"/>
        </w:rPr>
        <w:t>1 slightly water endangering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(in accordance with Annex 4 to the Directive on Water-Hazardous Substances)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Any existing national regulations on the handling of isocyanates must be observed.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Other regulations: The European Committee of Paint, Printing Ink and Artists' Colours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Manufacturers' Associations (CEPE) provides the following information on coatings containing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isocyanates: Ready-to-use paints containing isocyanates may have an irritant effect on mucous</w:t>
      </w:r>
      <w:r w:rsidR="00C40396">
        <w:rPr>
          <w:rFonts w:cs="Times New Roman"/>
          <w:sz w:val="20"/>
          <w:szCs w:val="20"/>
        </w:rPr>
        <w:t xml:space="preserve">  </w:t>
      </w:r>
      <w:r w:rsidRPr="00D55F6B">
        <w:rPr>
          <w:rFonts w:cs="Times New Roman"/>
          <w:sz w:val="20"/>
          <w:szCs w:val="20"/>
        </w:rPr>
        <w:t>membranes - especially on breathing organs - and cause hypersensitivity reactions. Inhalation of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 xml:space="preserve">vapor or spray mist may cause </w:t>
      </w:r>
      <w:r w:rsidRPr="00D55F6B">
        <w:rPr>
          <w:rFonts w:cs="Times New Roman"/>
          <w:sz w:val="20"/>
          <w:szCs w:val="20"/>
        </w:rPr>
        <w:lastRenderedPageBreak/>
        <w:t>sensitisation. When handling paints containing isocyanates all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precautions required for solvent-containing paints must be followed. Vapor and spray mist in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particular should not be inhaled. Allergics and asthmatics as well as people prone to respiratory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ailments should not work with isocyanate containing paints.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· 15.2 Chemical Safety Assessment: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Chemical safety assessment is performed for: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 homopolymer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hexamethylene-1,6-diisocyanate</w:t>
      </w:r>
    </w:p>
    <w:p w:rsidR="00C40396" w:rsidRDefault="00C40396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16. Other information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This safety data sheet has been drawn up in accordance with Regulation (EU) No 453/2010.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This safety data sheet is exclusively made for industrial/professional use.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- Changes </w:t>
      </w:r>
      <w:r w:rsidRPr="00D55F6B">
        <w:rPr>
          <w:rFonts w:cs="Times New Roman"/>
          <w:sz w:val="20"/>
          <w:szCs w:val="20"/>
        </w:rPr>
        <w:t>Changes from the previous revision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 xml:space="preserve">Full </w:t>
      </w:r>
      <w:r w:rsidRPr="00D55F6B">
        <w:rPr>
          <w:rFonts w:cs="Times New Roman"/>
          <w:sz w:val="20"/>
          <w:szCs w:val="20"/>
        </w:rPr>
        <w:t>(according to Regulation (EU) no 453/2010)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Full text of hazard statements (H-statements) according to section 2 and 3 of the CLPclassificatie (1272/2008/EC).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H226: Flammable liquid and vapour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H290: May be corrosive to metals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H301: Toxic if swallowed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H302: Harmful if swallowed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H311: Toxic in contact with skin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H314: Causes severe skin burns and eye damage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H315: Causes skin irritation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H317: May cause an allergic skin reaction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H318: Causes serious eye damage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H319: Causes serious eye irritation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H330: Fatal if inhaled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H331: Toxic if inhaled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H332: Harmful if inhaled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H334: May cause allergy or asthma symptoms or breathing difficulties if inhaled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H335: May cause respiratory irritation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H336: May cause drowsiness or dizziness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H411: Toxic to aquatic life with long lasting effects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H412: Harmful to aquatic life with long lasting effects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EUH066: Repeated exposure may cause skin dryness or cracking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- Full text of risk phrases according to section 2 and 3 of the EU classification (67/548/EEC, 1999/45/EC).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R10 Flammable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R20 Harmful by inhalation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R20/21/22 Harmful by inhalation, in contact with skin and if swallowed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R23 Toxic by inhalation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R34 Causes burns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R36/37/38 Irritating to eyes, respiratory system and skin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R37 Irritating to respiratory system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R38 Irritating to skin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R41 Risk of serious damage to eyes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R42 May cause sensitisation by inhalation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R42/43 May cause sensitization by inhalation and skin contact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R43 May cause sensitisation by skin contact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R51/53 Toxic to aquatic organisms, may cause long-term adverse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effects in the aquatic environment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R52/53 Harmful to aquatic organisms, may cause long-term adverse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effects in the aquatic environment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R66 Repeated exposure may cause skin dryness or cracking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R67 Vapours may cause drowsiness and dizziness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 product is used mainly as a hardener in coating materials or adhesives. The handling of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coating materials or adhesives containing reactive polyisocyanates and residual monomeric HDI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requires appropriate protective measures referred to in this safety data sheet. These products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lastRenderedPageBreak/>
        <w:t>may therefore be used only in industrial or trade applications.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They are not suitable for use in homeworker (DIY) applications.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List of abbreviations and acronyms that could be (but not necessarily are) used in this safety data sheet: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Acronym Full text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ADN (Accord européen relatif au transport international des marchandises Dangereuses par voie de Navigation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interieur): European agreement concerning the international carriage of dangerous goods by inland waterways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ADR (Accord européen relatif au transport international des marchandises Dangereuses par Route) : European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agreement concerning the international carriage of dangerous goods by road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AICS Australian Inventory of Chemical Substances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AIHA WEEL American Industrial Hygiene Association Workplace Environmental Exposure Limits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ASTM ASTM International, originally known as the American Society for Testing and Materials (ASTM)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ATE Acute Toxicity Estimate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CAS Chemical Abstracts Service (division of the American Chemical Society)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CLP Classification, Labeling and Packaging Regulation [Regulation (EC) No. 1272/2008]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CO Carbon monoxide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DNEL (Derived No Effect Level) : an estimated safe exposure level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DSL Domestic Substance List (Canada)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EINECS European Inventory of Existing Commercial Substances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ELINCS European List of Notified Chemical Substances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EmS (Emergency Schedule) : the first code refers to the relevant fire schedule and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the second code refers to the relevant spillage schedule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ENCS Existing and new Chemical Substances (Japanese inventory)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EUH statement CLP-specific Hazard statement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GHS Globally Harmonized System of Classification and Labeling of Chemicals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IATA International Air Transport Association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ICAO International Civil Aviation Organization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IECSC Inventory of Existing Chemical Substances in China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IMDG International Maritime Code for Dangerous Goods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KECI Korean Existing Chemicals Inventory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LC Lethal Concentration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LD Lethal Dose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N/A Not applicable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D55F6B">
        <w:rPr>
          <w:rFonts w:cs="Arial"/>
          <w:sz w:val="20"/>
          <w:szCs w:val="20"/>
        </w:rPr>
        <w:t>N/D Not determined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D55F6B">
        <w:rPr>
          <w:rFonts w:cs="Arial"/>
          <w:sz w:val="20"/>
          <w:szCs w:val="20"/>
        </w:rPr>
        <w:t>NE Not established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NDSL Non-Domestic Substances List (Canada)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NFPA (National Fire Protection Association) or fire diamant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NZIoC New Zealand Inventory of Chemicals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PBT Persistent, Bioaccumulative and Toxic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PICCS the Philippines Inventory of Chemical Substances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PNEC (Predicted No Effect Concentration) : concentration below which exposure to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a substance is not expected to cause adverse effects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REACH Registration, Evaluation, Authorisation and restriction of Chemicals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RID Règlement international concernant le transport des marchandises dangereuses par chemin de fer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(Regulations Concerning the International Transport of Dangerous Goods by Rail)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RRN REACH registration number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Arial"/>
          <w:sz w:val="20"/>
          <w:szCs w:val="20"/>
        </w:rPr>
        <w:t xml:space="preserve">TLV </w:t>
      </w:r>
      <w:r w:rsidRPr="00D55F6B">
        <w:rPr>
          <w:rFonts w:cs="Times New Roman"/>
          <w:sz w:val="20"/>
          <w:szCs w:val="20"/>
        </w:rPr>
        <w:t>Threshold Limit Value (American Conference of Governmental Industrial Hygienists)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TSCA Toxic Substances Control Act (list of the United States)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UVCB Substances of Unknown or Variable composition, Complex reaction products or Biological materials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VOC Volatile Organic Compound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zPzB very persistent and very bioaccumulative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WGK (Wassergefahrdungsklasse) : a German classification of substances that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indicate the environmental hazard for surface water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D55F6B">
        <w:rPr>
          <w:rFonts w:cs="Times New Roman"/>
          <w:b/>
          <w:bCs/>
          <w:sz w:val="20"/>
          <w:szCs w:val="20"/>
        </w:rPr>
        <w:t>Training Advice :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Staff serves for handling of the substance/the preparation are sufficiently informed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by means of this material safety data sheet.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The information is possible not or not entirely apply to combination of the product with</w:t>
      </w:r>
    </w:p>
    <w:p w:rsidR="00C40396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lastRenderedPageBreak/>
        <w:t>other substances or in certain applications.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The user is responsible to take the appropriate measures and make sure that the data is arranged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and sufficient for the use he makes of the product.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Under uncertainty about this it is advised to consult with an appropriate professional or the supplier.</w:t>
      </w:r>
      <w:r w:rsidR="00C40396">
        <w:rPr>
          <w:rFonts w:cs="Times New Roman"/>
          <w:sz w:val="20"/>
          <w:szCs w:val="20"/>
        </w:rPr>
        <w:t xml:space="preserve"> 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- REFERENCES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: Sources of information used in preparing this SDS included one or more of the following: results from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in house or supplier toxicology studies, CONCAWE Product Dossiers, publications from other trade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associations, such as the EU Hydrocarbon Solvents REACH Consortium, U.S. HPV Program Robust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Summaries, the EU IUCLID Data Base, U.S. NTP publications, and other sources, as appropriate.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This information is to our knowledge correct and complete on the date of issue of this safety data sheet. The information only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concerns the product and does not give any guarantee for the quality and the completeness of the properties of the product, or in</w:t>
      </w:r>
    </w:p>
    <w:p w:rsidR="00D55F6B" w:rsidRPr="00D55F6B" w:rsidRDefault="00D55F6B" w:rsidP="00D55F6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D55F6B">
        <w:rPr>
          <w:rFonts w:cs="Times New Roman"/>
          <w:sz w:val="20"/>
          <w:szCs w:val="20"/>
        </w:rPr>
        <w:t>case of mixing or using in any other process. It remains the responsibility of the user to assure himself that the information is</w:t>
      </w:r>
      <w:r w:rsidR="00C40396">
        <w:rPr>
          <w:rFonts w:cs="Times New Roman"/>
          <w:sz w:val="20"/>
          <w:szCs w:val="20"/>
        </w:rPr>
        <w:t xml:space="preserve"> </w:t>
      </w:r>
      <w:r w:rsidRPr="00D55F6B">
        <w:rPr>
          <w:rFonts w:cs="Times New Roman"/>
          <w:sz w:val="20"/>
          <w:szCs w:val="20"/>
        </w:rPr>
        <w:t>suitable and complete concerning the special use he makes of the product.</w:t>
      </w:r>
    </w:p>
    <w:p w:rsidR="00C636AE" w:rsidRPr="00D55F6B" w:rsidRDefault="00C636AE" w:rsidP="00D55F6B">
      <w:pPr>
        <w:rPr>
          <w:sz w:val="20"/>
          <w:szCs w:val="20"/>
        </w:rPr>
      </w:pPr>
    </w:p>
    <w:sectPr w:rsidR="00C636AE" w:rsidRPr="00D55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6B"/>
    <w:rsid w:val="00C40396"/>
    <w:rsid w:val="00C636AE"/>
    <w:rsid w:val="00D5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8347</Words>
  <Characters>45909</Characters>
  <Application>Microsoft Office Word</Application>
  <DocSecurity>0</DocSecurity>
  <Lines>382</Lines>
  <Paragraphs>108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2013-07-06T11:10:00Z</cp:lastPrinted>
  <dcterms:created xsi:type="dcterms:W3CDTF">2013-07-06T10:53:00Z</dcterms:created>
  <dcterms:modified xsi:type="dcterms:W3CDTF">2013-07-06T11:10:00Z</dcterms:modified>
</cp:coreProperties>
</file>